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481AA">
      <w:pPr>
        <w:spacing w:line="560" w:lineRule="exact"/>
        <w:ind w:firstLine="1320" w:firstLineChars="3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齐鲁工业大学（山东省科学院）</w:t>
      </w:r>
    </w:p>
    <w:p w14:paraId="739FBEEA">
      <w:pPr>
        <w:spacing w:line="560" w:lineRule="exact"/>
        <w:ind w:firstLine="1760" w:firstLineChars="4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2024届毕业生就业工作方案</w:t>
      </w:r>
    </w:p>
    <w:p w14:paraId="385AB9A2">
      <w:pPr>
        <w:pStyle w:val="2"/>
        <w:rPr>
          <w:rFonts w:ascii="方正小标宋简体" w:hAnsi="方正小标宋简体" w:eastAsia="方正小标宋简体" w:cs="方正小标宋简体"/>
          <w:sz w:val="44"/>
          <w:szCs w:val="44"/>
        </w:rPr>
      </w:pPr>
    </w:p>
    <w:p w14:paraId="6CADDA69">
      <w:pPr>
        <w:spacing w:line="560" w:lineRule="exact"/>
        <w:ind w:firstLine="640" w:firstLineChars="200"/>
      </w:pPr>
      <w:r>
        <w:rPr>
          <w:rFonts w:hint="eastAsia" w:ascii="仿宋_GB2312" w:hAnsi="仿宋_GB2312" w:eastAsia="仿宋_GB2312" w:cs="仿宋_GB2312"/>
          <w:bCs/>
          <w:sz w:val="32"/>
          <w:szCs w:val="32"/>
        </w:rPr>
        <w:t>根据《山东省人力资源和社会保障厅 山东省教育厅关于报送2024届高校毕业生就业工作方案的通知》要求，对标校（院）“十四五”规划整体要求，努力做好校（院）2024届毕业生就业工作，结合实际，制定本方案。</w:t>
      </w:r>
    </w:p>
    <w:p w14:paraId="43DEC8F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一、2024届毕业生就业工作思路</w:t>
      </w:r>
    </w:p>
    <w:p w14:paraId="3C408D42">
      <w:pPr>
        <w:pStyle w:val="3"/>
        <w:spacing w:line="560" w:lineRule="exact"/>
        <w:ind w:firstLine="640" w:firstLineChars="200"/>
        <w:rPr>
          <w:rFonts w:ascii="楷体" w:hAnsi="楷体" w:eastAsia="楷体" w:cs="楷体"/>
          <w:szCs w:val="32"/>
        </w:rPr>
      </w:pPr>
      <w:r>
        <w:rPr>
          <w:rFonts w:hint="eastAsia" w:ascii="楷体" w:hAnsi="楷体" w:eastAsia="楷体" w:cs="楷体"/>
          <w:szCs w:val="32"/>
        </w:rPr>
        <w:t>（一）不断深化教育教学改革，优化人才培养过程，提升毕业生就业竞争力</w:t>
      </w:r>
    </w:p>
    <w:p w14:paraId="52133A99">
      <w:pPr>
        <w:pStyle w:val="3"/>
        <w:spacing w:line="560" w:lineRule="exact"/>
        <w:ind w:firstLine="640" w:firstLineChars="200"/>
        <w:rPr>
          <w:rFonts w:ascii="仿宋_GB2312" w:hAnsi="仿宋_GB2312" w:cs="仿宋_GB2312"/>
          <w:szCs w:val="32"/>
        </w:rPr>
      </w:pPr>
      <w:r>
        <w:rPr>
          <w:rFonts w:hint="eastAsia" w:ascii="仿宋_GB2312" w:hAnsi="仿宋_GB2312" w:cs="仿宋_GB2312"/>
          <w:szCs w:val="32"/>
        </w:rPr>
        <w:t>牢固树立人才培养中心地位，全面落实一流本科人才培养行动计划，完善教学质量监控与评价体系，持续推进学风建设工作，学生综合能力显著提高，本科生升学率逐年提高。</w:t>
      </w:r>
    </w:p>
    <w:p w14:paraId="243A55E7">
      <w:pPr>
        <w:pStyle w:val="3"/>
        <w:spacing w:line="560" w:lineRule="exact"/>
        <w:ind w:firstLine="640" w:firstLineChars="200"/>
        <w:rPr>
          <w:rFonts w:ascii="楷体" w:hAnsi="楷体" w:eastAsia="楷体" w:cs="楷体"/>
          <w:szCs w:val="32"/>
        </w:rPr>
      </w:pPr>
      <w:r>
        <w:rPr>
          <w:rFonts w:hint="eastAsia" w:ascii="楷体" w:hAnsi="楷体" w:eastAsia="楷体" w:cs="楷体"/>
          <w:szCs w:val="32"/>
        </w:rPr>
        <w:t>（二）深化就业精准指导与服务，全力以赴促进毕业生尽早就业，确保就业大局稳定</w:t>
      </w:r>
    </w:p>
    <w:p w14:paraId="60C0C061">
      <w:pPr>
        <w:pStyle w:val="3"/>
        <w:spacing w:line="560" w:lineRule="exact"/>
        <w:ind w:firstLine="640" w:firstLineChars="200"/>
        <w:rPr>
          <w:rFonts w:ascii="仿宋_GB2312" w:hAnsi="仿宋_GB2312" w:cs="仿宋_GB2312"/>
          <w:szCs w:val="32"/>
        </w:rPr>
      </w:pPr>
      <w:r>
        <w:rPr>
          <w:rFonts w:hint="eastAsia" w:ascii="仿宋_GB2312" w:hAnsi="仿宋_GB2312" w:cs="仿宋_GB2312"/>
          <w:szCs w:val="32"/>
        </w:rPr>
        <w:t>推进就业工作体制机制创新，搭建精准供需信息对接平台，健全就业分类指导服务体系，创新实施“金秋招聘”“暖冬行动”“春风行动”“</w:t>
      </w:r>
      <w:r>
        <w:rPr>
          <w:rFonts w:hint="eastAsia" w:ascii="仿宋_GB2312" w:hAnsi="仿宋_GB2312" w:cs="仿宋_GB2312"/>
          <w:szCs w:val="32"/>
          <w:lang w:val="en-US" w:eastAsia="zh-CN"/>
        </w:rPr>
        <w:t>就业</w:t>
      </w:r>
      <w:r>
        <w:rPr>
          <w:rFonts w:hint="eastAsia" w:ascii="仿宋_GB2312" w:hAnsi="仿宋_GB2312" w:cs="仿宋_GB2312"/>
          <w:szCs w:val="32"/>
        </w:rPr>
        <w:t>攻坚”</w:t>
      </w:r>
      <w:r>
        <w:rPr>
          <w:rFonts w:hint="eastAsia" w:ascii="仿宋_GB2312" w:hAnsi="仿宋_GB2312" w:cs="仿宋_GB2312"/>
          <w:szCs w:val="32"/>
          <w:lang w:eastAsia="zh-CN"/>
        </w:rPr>
        <w:t>“</w:t>
      </w:r>
      <w:r>
        <w:rPr>
          <w:rFonts w:hint="eastAsia" w:ascii="仿宋_GB2312" w:hAnsi="仿宋_GB2312" w:cs="仿宋_GB2312"/>
          <w:szCs w:val="32"/>
          <w:lang w:val="en-US" w:eastAsia="zh-CN"/>
        </w:rPr>
        <w:t>百日冲刺</w:t>
      </w:r>
      <w:r>
        <w:rPr>
          <w:rFonts w:hint="eastAsia" w:ascii="仿宋_GB2312" w:hAnsi="仿宋_GB2312" w:cs="仿宋_GB2312"/>
          <w:szCs w:val="32"/>
          <w:lang w:eastAsia="zh-CN"/>
        </w:rPr>
        <w:t>”</w:t>
      </w:r>
      <w:r>
        <w:rPr>
          <w:rFonts w:hint="eastAsia" w:ascii="仿宋_GB2312" w:hAnsi="仿宋_GB2312" w:cs="仿宋_GB2312"/>
          <w:szCs w:val="32"/>
        </w:rPr>
        <w:t>“跟踪服务”等</w:t>
      </w:r>
      <w:r>
        <w:rPr>
          <w:rFonts w:hint="eastAsia" w:ascii="仿宋_GB2312" w:hAnsi="仿宋_GB2312" w:cs="仿宋_GB2312"/>
          <w:szCs w:val="32"/>
          <w:lang w:val="en-US" w:eastAsia="zh-CN"/>
        </w:rPr>
        <w:t>六</w:t>
      </w:r>
      <w:r>
        <w:rPr>
          <w:rFonts w:hint="eastAsia" w:ascii="仿宋_GB2312" w:hAnsi="仿宋_GB2312" w:cs="仿宋_GB2312"/>
          <w:szCs w:val="32"/>
        </w:rPr>
        <w:t>大专项行动，全方位保障毕业生就业工作平稳运行。</w:t>
      </w:r>
    </w:p>
    <w:p w14:paraId="17C15A68">
      <w:pPr>
        <w:pStyle w:val="3"/>
        <w:spacing w:line="560" w:lineRule="exact"/>
        <w:ind w:firstLine="640" w:firstLineChars="200"/>
        <w:rPr>
          <w:rFonts w:ascii="楷体" w:hAnsi="楷体" w:eastAsia="楷体" w:cs="楷体"/>
          <w:szCs w:val="32"/>
        </w:rPr>
      </w:pPr>
      <w:r>
        <w:rPr>
          <w:rFonts w:hint="eastAsia" w:ascii="楷体" w:hAnsi="楷体" w:eastAsia="楷体" w:cs="楷体"/>
          <w:szCs w:val="32"/>
        </w:rPr>
        <w:t>（三）持续推进就业工作“全程化、全员化、专业化、职业化、专家化、信息化”，健全就业育人工作体系，实现就业工作前移</w:t>
      </w:r>
    </w:p>
    <w:p w14:paraId="717C7969">
      <w:pPr>
        <w:pStyle w:val="3"/>
        <w:spacing w:line="560" w:lineRule="exact"/>
        <w:ind w:firstLine="640" w:firstLineChars="200"/>
        <w:rPr>
          <w:rFonts w:ascii="黑体" w:hAnsi="黑体" w:eastAsia="黑体" w:cs="黑体"/>
          <w:szCs w:val="32"/>
        </w:rPr>
      </w:pPr>
      <w:r>
        <w:rPr>
          <w:rFonts w:hint="eastAsia" w:ascii="仿宋_GB2312" w:hAnsi="仿宋_GB2312" w:cs="仿宋_GB2312"/>
          <w:szCs w:val="32"/>
        </w:rPr>
        <w:t>把大学生职业发展与就业指导贯穿于人才培养全过程，推进落实研究生导师负责制，全面实施“学业导师制”，打造一批就业指导“名师金课”，总结提炼工作特色，打造就业工作品牌。</w:t>
      </w:r>
    </w:p>
    <w:p w14:paraId="1773E030">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、2024届毕业生就业工作目标任务</w:t>
      </w:r>
    </w:p>
    <w:p w14:paraId="7FFB8878">
      <w:pPr>
        <w:pStyle w:val="3"/>
        <w:spacing w:line="560" w:lineRule="exact"/>
        <w:ind w:firstLine="640" w:firstLineChars="200"/>
        <w:rPr>
          <w:rFonts w:ascii="黑体" w:hAnsi="黑体" w:eastAsia="黑体" w:cs="黑体"/>
          <w:szCs w:val="32"/>
        </w:rPr>
      </w:pPr>
      <w:r>
        <w:rPr>
          <w:rFonts w:hint="eastAsia" w:ascii="仿宋_GB2312" w:hAnsi="仿宋_GB2312" w:cs="仿宋_GB2312"/>
          <w:szCs w:val="32"/>
        </w:rPr>
        <w:t>认真学习贯彻中央决策部署和省委有关工作要求，吃透政策原则，准确把握就业工作的指导思想、总体要求、目标任务，不断提高进入世界500强、中国500强、行业百强企业人数，提升优质就业比例，让毕业生高质量充分就业成为就业工作评价的主要导向。</w:t>
      </w:r>
    </w:p>
    <w:p w14:paraId="10D222C3">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、促进毕业生就业将采取的主要措施——“五个强化促就业”</w:t>
      </w:r>
    </w:p>
    <w:p w14:paraId="0FBB81AD">
      <w:pPr>
        <w:pStyle w:val="3"/>
        <w:spacing w:line="560" w:lineRule="exact"/>
        <w:ind w:firstLine="640" w:firstLineChars="200"/>
        <w:rPr>
          <w:rFonts w:ascii="楷体" w:hAnsi="楷体" w:eastAsia="楷体" w:cs="楷体"/>
          <w:szCs w:val="32"/>
        </w:rPr>
      </w:pPr>
      <w:r>
        <w:rPr>
          <w:rFonts w:hint="eastAsia" w:ascii="楷体" w:hAnsi="楷体" w:eastAsia="楷体" w:cs="楷体"/>
          <w:szCs w:val="32"/>
        </w:rPr>
        <w:t>（一）强化组织领导，推进就业工作体制机制创新</w:t>
      </w:r>
    </w:p>
    <w:p w14:paraId="2F02813B">
      <w:pPr>
        <w:pStyle w:val="3"/>
        <w:spacing w:line="560" w:lineRule="exact"/>
        <w:ind w:firstLine="643" w:firstLineChars="200"/>
        <w:rPr>
          <w:rFonts w:ascii="仿宋_GB2312" w:hAnsi="仿宋_GB2312" w:cs="仿宋_GB2312"/>
          <w:szCs w:val="32"/>
        </w:rPr>
      </w:pPr>
      <w:r>
        <w:rPr>
          <w:rFonts w:hint="eastAsia" w:ascii="仿宋_GB2312" w:hAnsi="仿宋_GB2312" w:cs="仿宋_GB2312"/>
          <w:b/>
          <w:bCs/>
          <w:kern w:val="0"/>
          <w:szCs w:val="32"/>
          <w:lang w:bidi="ar"/>
        </w:rPr>
        <w:t>1.深入推进“一把手”工程。</w:t>
      </w:r>
      <w:r>
        <w:rPr>
          <w:rFonts w:hint="eastAsia" w:ascii="仿宋_GB2312" w:hAnsi="仿宋_GB2312" w:cs="仿宋_GB2312"/>
          <w:szCs w:val="32"/>
        </w:rPr>
        <w:t>定期召开校（院）就业育人大会和就业工作领导小组专题会议，列入领导班子重要议事日程；建立健全校（院）主要负责同志亲自部署，分管领导靠前指挥，各学部（学院）、菏泽校区（分院）（以下简称各二级单位）领导落实责任，各部门协同推进、全员参与的工作机制；实施校（院）就业工作月度调度制度，压实工作责任，确保工作部署到位、责任落实到位；持续推进校（院）领导和各二级单位领导带头访企拓岗、帮扶困难毕业生制度。</w:t>
      </w:r>
    </w:p>
    <w:p w14:paraId="60C5377B">
      <w:pPr>
        <w:pStyle w:val="3"/>
        <w:spacing w:line="560" w:lineRule="exact"/>
        <w:ind w:firstLine="643" w:firstLineChars="200"/>
        <w:rPr>
          <w:rFonts w:ascii="仿宋_GB2312" w:hAnsi="仿宋_GB2312" w:cs="仿宋_GB2312"/>
          <w:szCs w:val="32"/>
        </w:rPr>
      </w:pPr>
      <w:r>
        <w:rPr>
          <w:rFonts w:hint="eastAsia" w:ascii="仿宋_GB2312" w:hAnsi="仿宋_GB2312" w:cs="仿宋_GB2312"/>
          <w:b/>
          <w:bCs/>
          <w:szCs w:val="32"/>
        </w:rPr>
        <w:t>2.扎实推进就业工作“全员化、全程化”。</w:t>
      </w:r>
      <w:r>
        <w:rPr>
          <w:rFonts w:hint="eastAsia" w:ascii="仿宋_GB2312" w:hAnsi="仿宋_GB2312" w:cs="仿宋_GB2312"/>
          <w:szCs w:val="32"/>
        </w:rPr>
        <w:t>推进落实校（院）研究生导师负责制，全面落实“学业导师制”；健全就业工作奖励机制，激发学业导师、研究生导师、班主任、辅导员等参与就业工作的积极性。</w:t>
      </w:r>
    </w:p>
    <w:p w14:paraId="1B1EAA10">
      <w:pPr>
        <w:pStyle w:val="3"/>
        <w:spacing w:line="560" w:lineRule="exact"/>
        <w:ind w:firstLine="643" w:firstLineChars="200"/>
        <w:rPr>
          <w:rFonts w:ascii="仿宋_GB2312" w:hAnsi="仿宋_GB2312" w:cs="仿宋_GB2312"/>
          <w:szCs w:val="32"/>
        </w:rPr>
      </w:pPr>
      <w:r>
        <w:rPr>
          <w:rFonts w:hint="eastAsia" w:ascii="仿宋_GB2312" w:hAnsi="仿宋_GB2312" w:cs="仿宋_GB2312"/>
          <w:b/>
          <w:bCs/>
          <w:szCs w:val="32"/>
        </w:rPr>
        <w:t>3.完善就业工作反馈机制，推动就业与学科专业设置、招生培养联动改革。</w:t>
      </w:r>
      <w:r>
        <w:rPr>
          <w:rFonts w:hint="eastAsia" w:ascii="仿宋_GB2312" w:hAnsi="仿宋_GB2312" w:cs="仿宋_GB2312"/>
          <w:szCs w:val="32"/>
        </w:rPr>
        <w:t xml:space="preserve">开展毕业生就业质量跟踪调研，加强用人单位对毕业生的评价和反馈；发挥就业大数据对高校招生计划安排、人才培养方案调整的作用，不断提高人才培养和社会需求的契合度；推进供需对接就业育人项目，深化产教融合、校企合作，培养更多应用型、复合型和紧缺型人才。  </w:t>
      </w:r>
    </w:p>
    <w:p w14:paraId="6B47D124">
      <w:pPr>
        <w:pStyle w:val="3"/>
        <w:spacing w:line="560" w:lineRule="exact"/>
        <w:ind w:firstLine="643" w:firstLineChars="200"/>
        <w:rPr>
          <w:rFonts w:ascii="仿宋_GB2312" w:hAnsi="仿宋_GB2312" w:cs="仿宋_GB2312"/>
          <w:b/>
          <w:bCs/>
          <w:szCs w:val="32"/>
        </w:rPr>
      </w:pPr>
      <w:r>
        <w:rPr>
          <w:rFonts w:hint="eastAsia" w:ascii="仿宋_GB2312" w:hAnsi="仿宋_GB2312" w:cs="仿宋_GB2312"/>
          <w:b/>
          <w:bCs/>
          <w:szCs w:val="32"/>
        </w:rPr>
        <w:t>4.完善就业统计发布机制。</w:t>
      </w:r>
      <w:r>
        <w:rPr>
          <w:rFonts w:hint="eastAsia" w:ascii="仿宋_GB2312" w:hAnsi="仿宋_GB2312" w:cs="仿宋_GB2312"/>
          <w:szCs w:val="32"/>
        </w:rPr>
        <w:t>加强就业统计核查，坚决落实教育部有关要求，严格执行就业工作“四不准”规定，确保就业统计数据真实准确；开展毕业生实名查询反馈，统一公布举报电话和邮箱；编制《就业工作简报》，及时汇总、通报就业进展情况。</w:t>
      </w:r>
    </w:p>
    <w:p w14:paraId="7C767F2C">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（二）强化精准指导，深入推进就业育人</w:t>
      </w:r>
    </w:p>
    <w:p w14:paraId="44E8089D">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1.推进全省职业生涯与就业指导金课建设。</w:t>
      </w:r>
      <w:r>
        <w:rPr>
          <w:rFonts w:hint="eastAsia" w:ascii="仿宋_GB2312" w:hAnsi="仿宋_GB2312" w:eastAsia="仿宋_GB2312" w:cs="仿宋_GB2312"/>
          <w:sz w:val="32"/>
          <w:szCs w:val="32"/>
        </w:rPr>
        <w:t>通过“准入制”组织职业生涯规划与就业指导授课教师选聘，第一批认定授课师资60人，培育师资40人，</w:t>
      </w:r>
      <w:r>
        <w:rPr>
          <w:rFonts w:hint="eastAsia" w:ascii="仿宋_GB2312" w:hAnsi="仿宋_GB2312" w:eastAsia="仿宋_GB2312" w:cs="仿宋_GB2312"/>
          <w:bCs/>
          <w:kern w:val="0"/>
          <w:sz w:val="32"/>
          <w:szCs w:val="32"/>
        </w:rPr>
        <w:t>完成《大学生职业生涯规划》《大学生就业指导》授课任务；</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bidi="ar"/>
        </w:rPr>
        <w:t>编写《新编大学生就业指导》；</w:t>
      </w:r>
      <w:r>
        <w:rPr>
          <w:rFonts w:hint="eastAsia" w:ascii="仿宋_GB2312" w:hAnsi="仿宋_GB2312" w:eastAsia="仿宋_GB2312" w:cs="仿宋_GB2312"/>
          <w:bCs/>
          <w:kern w:val="0"/>
          <w:sz w:val="32"/>
          <w:szCs w:val="32"/>
        </w:rPr>
        <w:t>组织学生开展就业胜任力测评，提升学生就业竞争力</w:t>
      </w:r>
      <w:r>
        <w:rPr>
          <w:rFonts w:hint="eastAsia" w:ascii="仿宋_GB2312" w:hAnsi="仿宋_GB2312" w:eastAsia="仿宋_GB2312" w:cs="仿宋_GB2312"/>
          <w:sz w:val="32"/>
          <w:szCs w:val="32"/>
        </w:rPr>
        <w:t>。</w:t>
      </w:r>
    </w:p>
    <w:p w14:paraId="447F180A">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2.推进全省首批特色型职业生涯咨询室建设。</w:t>
      </w:r>
      <w:r>
        <w:rPr>
          <w:rFonts w:hint="eastAsia" w:ascii="仿宋_GB2312" w:hAnsi="仿宋_GB2312" w:eastAsia="仿宋_GB2312" w:cs="仿宋_GB2312"/>
          <w:sz w:val="32"/>
          <w:szCs w:val="32"/>
        </w:rPr>
        <w:t>制定《生涯咨询师晋级制度》；编写《生涯咨询案例集》，研发《技能定位法》等生涯辅导工具，编写《从角色饼图看行动计划》等生涯辅导方案；开展13期“格物致知”生涯学习研究应用小组活动；</w:t>
      </w:r>
      <w:r>
        <w:rPr>
          <w:rFonts w:hint="eastAsia" w:ascii="仿宋_GB2312" w:eastAsia="仿宋_GB2312"/>
          <w:sz w:val="32"/>
          <w:szCs w:val="32"/>
        </w:rPr>
        <w:t>面向全省高校开展“职达未来”生涯网络公益课程，提升生涯教育与就业指导的科学性、针对性。</w:t>
      </w:r>
    </w:p>
    <w:p w14:paraId="0737EDF1">
      <w:pPr>
        <w:spacing w:line="560" w:lineRule="exact"/>
        <w:ind w:firstLine="643" w:firstLineChars="200"/>
        <w:rPr>
          <w:rFonts w:ascii="楷体" w:hAnsi="楷体" w:eastAsia="楷体" w:cs="楷体"/>
          <w:sz w:val="32"/>
          <w:szCs w:val="32"/>
        </w:rPr>
      </w:pPr>
      <w:r>
        <w:rPr>
          <w:rFonts w:hint="eastAsia" w:ascii="仿宋_GB2312" w:hAnsi="仿宋_GB2312" w:eastAsia="仿宋_GB2312" w:cs="仿宋_GB2312"/>
          <w:b/>
          <w:bCs/>
          <w:sz w:val="32"/>
          <w:szCs w:val="32"/>
        </w:rPr>
        <w:t>3.推进体验式、参与式生涯教育模式探索。</w:t>
      </w:r>
      <w:r>
        <w:rPr>
          <w:rFonts w:hint="eastAsia" w:ascii="仿宋_GB2312" w:hAnsi="仿宋_GB2312" w:eastAsia="仿宋_GB2312" w:cs="仿宋_GB2312"/>
          <w:sz w:val="32"/>
          <w:szCs w:val="32"/>
        </w:rPr>
        <w:t>组织19位“洞见生涯”引导师，开设团体辅导，覆盖至少2000名学生；举办职业生涯体验周活动，覆盖至少5000名学生；组织首届全国职业规划大赛校赛，参与学生1</w:t>
      </w:r>
      <w:r>
        <w:rPr>
          <w:rFonts w:hint="eastAsia" w:ascii="仿宋_GB2312" w:hAnsi="仿宋_GB2312" w:eastAsia="仿宋_GB2312" w:cs="仿宋_GB2312"/>
          <w:sz w:val="32"/>
          <w:szCs w:val="32"/>
          <w:lang w:val="en-US" w:eastAsia="zh-CN"/>
        </w:rPr>
        <w:t>0000</w:t>
      </w:r>
      <w:r>
        <w:rPr>
          <w:rFonts w:hint="eastAsia" w:ascii="仿宋_GB2312" w:hAnsi="仿宋_GB2312" w:eastAsia="仿宋_GB2312" w:cs="仿宋_GB2312"/>
          <w:sz w:val="32"/>
          <w:szCs w:val="32"/>
        </w:rPr>
        <w:t>人次；为学生提供简历制作系统，举办“金牌简历特训营”——免费提供热门岗位简历撰写课和专家简历点评，提升学生职业能力。</w:t>
      </w:r>
    </w:p>
    <w:p w14:paraId="7E3DC17B">
      <w:pPr>
        <w:pStyle w:val="3"/>
        <w:spacing w:line="560" w:lineRule="exact"/>
        <w:ind w:firstLine="640" w:firstLineChars="200"/>
        <w:rPr>
          <w:rFonts w:ascii="楷体" w:hAnsi="楷体" w:eastAsia="楷体" w:cs="楷体"/>
          <w:szCs w:val="32"/>
        </w:rPr>
      </w:pPr>
      <w:r>
        <w:rPr>
          <w:rFonts w:hint="eastAsia" w:ascii="楷体" w:hAnsi="楷体" w:eastAsia="楷体" w:cs="楷体"/>
          <w:szCs w:val="32"/>
        </w:rPr>
        <w:t>（三）强化精准对接，开拓市场化就业渠道</w:t>
      </w:r>
    </w:p>
    <w:p w14:paraId="691DC9F4">
      <w:pPr>
        <w:pStyle w:val="3"/>
        <w:spacing w:line="560" w:lineRule="exact"/>
        <w:ind w:firstLine="643" w:firstLineChars="200"/>
        <w:rPr>
          <w:rFonts w:ascii="仿宋_GB2312" w:hAnsi="仿宋_GB2312" w:cs="仿宋_GB2312"/>
          <w:szCs w:val="32"/>
        </w:rPr>
      </w:pPr>
      <w:r>
        <w:rPr>
          <w:rFonts w:hint="eastAsia" w:ascii="仿宋" w:hAnsi="仿宋" w:eastAsia="仿宋" w:cs="仿宋"/>
          <w:b/>
          <w:bCs/>
          <w:szCs w:val="32"/>
        </w:rPr>
        <w:t>1.</w:t>
      </w:r>
      <w:r>
        <w:rPr>
          <w:rFonts w:hint="eastAsia" w:ascii="仿宋_GB2312" w:hAnsi="仿宋_GB2312" w:cs="仿宋_GB2312"/>
          <w:b/>
          <w:bCs/>
          <w:szCs w:val="32"/>
        </w:rPr>
        <w:t>强化校园招聘创新，探索“招聘+”延伸校园招聘功能。</w:t>
      </w:r>
      <w:r>
        <w:rPr>
          <w:rFonts w:hint="eastAsia" w:ascii="仿宋_GB2312" w:hAnsi="仿宋_GB2312" w:cs="仿宋_GB2312"/>
          <w:szCs w:val="32"/>
        </w:rPr>
        <w:t>组织就业工作人员、毕业班辅导员和求职毕业生注册使用“24365智慧就业平台”；开展“金秋招聘行动”“暖冬行动”“春风行动”“百日攻坚行动”等招聘活动，继续举办“就选山东”“选择济南”和校友企业专场等大型就业双选会；创新举办工大雇主品牌联盟“百十”工程系列活动；鼓励各二级单位结合专业特色举办行业类中型招聘会；维护就业信息网智慧平台，实现就业信息365天精准推送，提高招聘成功率；主动对接地方人社部门，开展“留鲁就业宣传周”活动；开展暑期实习生招聘系列活动，强化就业实习实践，推动更多学生通过实习实践实现就业。</w:t>
      </w:r>
    </w:p>
    <w:p w14:paraId="1FDA0516">
      <w:pPr>
        <w:pStyle w:val="3"/>
        <w:spacing w:line="560" w:lineRule="exact"/>
        <w:ind w:firstLine="643" w:firstLineChars="200"/>
        <w:rPr>
          <w:rFonts w:ascii="楷体" w:hAnsi="楷体" w:eastAsia="楷体" w:cs="楷体"/>
          <w:szCs w:val="32"/>
        </w:rPr>
      </w:pPr>
      <w:r>
        <w:rPr>
          <w:rFonts w:hint="eastAsia" w:ascii="仿宋_GB2312" w:hAnsi="仿宋_GB2312" w:cs="仿宋_GB2312"/>
          <w:b/>
          <w:bCs/>
          <w:szCs w:val="32"/>
        </w:rPr>
        <w:t>2.深化校企校地合作，搭建大学生职业发展实践平台。</w:t>
      </w:r>
      <w:r>
        <w:rPr>
          <w:rFonts w:hint="eastAsia" w:ascii="仿宋_GB2312" w:hAnsi="仿宋_GB2312" w:cs="仿宋_GB2312"/>
          <w:szCs w:val="32"/>
        </w:rPr>
        <w:t>积极申报教育部第三期供需对接就业育人项目，打造以服务经济社会发展为导向，政府、高校、企业、校友、社会团体等共同参与的工作新模式；继续开展访企拓岗促就业行动，让走访用人单位、就业资源拓展、毕业校友座谈成为常规工作；不断拓展行业龙头企业、500强企业资源，强化大学生就业实习基地建设，实现校企协同发展、优势互补。</w:t>
      </w:r>
    </w:p>
    <w:p w14:paraId="0645FD28">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（四）强化精准育人，健全完善就业宣传机制</w:t>
      </w:r>
    </w:p>
    <w:p w14:paraId="227DF73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1.完善就业宣传机制。</w:t>
      </w:r>
      <w:r>
        <w:rPr>
          <w:rFonts w:hint="eastAsia" w:ascii="仿宋_GB2312" w:hAnsi="仿宋_GB2312" w:eastAsia="仿宋_GB2312" w:cs="仿宋_GB2312"/>
          <w:sz w:val="32"/>
          <w:szCs w:val="32"/>
        </w:rPr>
        <w:t>开展“签约第一人”“签约先锋”“青春榜样”基层就业等就业典型人物事迹宣传活动，下发《关于</w:t>
      </w:r>
      <w:r>
        <w:rPr>
          <w:rFonts w:hint="eastAsia" w:ascii="仿宋_GB2312" w:hAnsi="仿宋_GB2312" w:eastAsia="仿宋_GB2312" w:cs="仿宋_GB2312"/>
          <w:sz w:val="32"/>
          <w:szCs w:val="32"/>
          <w:lang w:eastAsia="zh-Hans"/>
        </w:rPr>
        <w:t>征</w:t>
      </w:r>
      <w:r>
        <w:rPr>
          <w:rFonts w:hint="eastAsia" w:ascii="仿宋_GB2312" w:hAnsi="仿宋_GB2312" w:eastAsia="仿宋_GB2312" w:cs="仿宋_GB2312"/>
          <w:sz w:val="32"/>
          <w:szCs w:val="32"/>
        </w:rPr>
        <w:t>集</w:t>
      </w:r>
      <w:r>
        <w:rPr>
          <w:rFonts w:hint="eastAsia" w:ascii="仿宋_GB2312" w:hAnsi="仿宋_GB2312" w:eastAsia="仿宋_GB2312" w:cs="仿宋_GB2312"/>
          <w:sz w:val="32"/>
          <w:szCs w:val="32"/>
          <w:lang w:eastAsia="zh-Hans"/>
        </w:rPr>
        <w:t>202</w:t>
      </w:r>
      <w:r>
        <w:rPr>
          <w:rFonts w:hint="eastAsia" w:ascii="仿宋_GB2312" w:hAnsi="仿宋_GB2312" w:eastAsia="仿宋_GB2312" w:cs="仿宋_GB2312"/>
          <w:sz w:val="32"/>
          <w:szCs w:val="32"/>
        </w:rPr>
        <w:t>4届毕业生“签约先锋”就业典型人物事迹宣传活动的通知》《关于征集“青春榜样”往届基层就业典型事迹材料的通知》《关于开展“筑暖心壁垒，绘就业画卷”毕业生就业辅导员宣传活动通知》，发挥典型人物榜样力量。</w:t>
      </w:r>
    </w:p>
    <w:p w14:paraId="2A74F8AC">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2.完善就业育人揭榜机制。</w:t>
      </w:r>
      <w:r>
        <w:rPr>
          <w:rFonts w:hint="eastAsia" w:ascii="仿宋_GB2312" w:hAnsi="仿宋_GB2312" w:eastAsia="仿宋_GB2312" w:cs="仿宋_GB2312"/>
          <w:sz w:val="32"/>
          <w:szCs w:val="32"/>
        </w:rPr>
        <w:t>健全就业指导服务体系，推动服务质量和水平全面提升。制定《就业育人“揭榜制”项目实施管理办法（暂行）》，发布《关于2024年度就业育人“揭榜制”项目申报的通知》，营造全校（院）支持毕业生就业的良好舆论氛围。</w:t>
      </w:r>
    </w:p>
    <w:p w14:paraId="0C136FC7">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3.完善就业师资培育机制。</w:t>
      </w:r>
      <w:r>
        <w:rPr>
          <w:rFonts w:hint="eastAsia" w:ascii="仿宋_GB2312" w:hAnsi="仿宋_GB2312" w:eastAsia="仿宋_GB2312" w:cs="仿宋_GB2312"/>
          <w:sz w:val="32"/>
          <w:szCs w:val="32"/>
        </w:rPr>
        <w:t>强化就业指导师资培训培养，以大学生职业发展工作室为平台，制定实施《2024年“领航计划”全程化就业指导培训方案》，开展就业指导师资培训</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余期，鼓励就业指导人员按要求参加相关职称评审，畅通就业指导人员职业发展渠道，让经验丰富的就业指导老师干得好，干得久；强化校外就业导师队伍建设。继续依托大学生职业发展指导委员会，有效整合校外各类就业导师资源，修订完善《大学生职业发展与就业指导校外导师聘任办法（试行）》，组织企业老总、技术骨干、人力资源专家、知名校友等参加就业指导活动，为学生职业发展提供智力支持。</w:t>
      </w:r>
    </w:p>
    <w:p w14:paraId="6A7AF7D7">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（五）强化精准服务，完善就业帮扶机制</w:t>
      </w:r>
    </w:p>
    <w:p w14:paraId="7E763F33">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1.系统开展困难群体就业帮扶。</w:t>
      </w:r>
      <w:r>
        <w:rPr>
          <w:rFonts w:hint="eastAsia" w:ascii="仿宋_GB2312" w:hAnsi="仿宋_GB2312" w:eastAsia="仿宋_GB2312" w:cs="仿宋_GB2312"/>
          <w:sz w:val="32"/>
          <w:szCs w:val="32"/>
        </w:rPr>
        <w:t>开展毕业生就业动态调研，摸清脱贫家庭等困难毕业生底数，动态更新《2024届毕业生困难群体就业帮扶台账》，按照“一人一策”“一人一档”，实行销号管理，确保家庭困难学生全部实现就业；校（院）作为全省第三所教育部“宏志助航计划——全国高校毕业生就业能力培训基地”，根据教育部“宏志助航计划”工作部署，为省内600名学员提供有针对性的就业指导和帮扶，确保有就业意愿的毕业生充分就业。</w:t>
      </w:r>
    </w:p>
    <w:p w14:paraId="78BEE878">
      <w:pPr>
        <w:spacing w:line="560" w:lineRule="exact"/>
        <w:ind w:firstLine="643" w:firstLineChars="200"/>
        <w:rPr>
          <w:rFonts w:ascii="楷体" w:hAnsi="楷体" w:eastAsia="楷体" w:cs="楷体"/>
          <w:szCs w:val="32"/>
        </w:rPr>
      </w:pPr>
      <w:r>
        <w:rPr>
          <w:rFonts w:hint="eastAsia" w:ascii="仿宋_GB2312" w:hAnsi="仿宋_GB2312" w:eastAsia="仿宋_GB2312" w:cs="仿宋_GB2312"/>
          <w:b/>
          <w:bCs/>
          <w:sz w:val="32"/>
          <w:szCs w:val="32"/>
        </w:rPr>
        <w:t>2.系统开展暖心就业指导服务。</w:t>
      </w:r>
      <w:r>
        <w:rPr>
          <w:rFonts w:hint="eastAsia" w:ascii="仿宋_GB2312" w:hAnsi="仿宋_GB2312" w:eastAsia="仿宋_GB2312" w:cs="仿宋_GB2312"/>
          <w:sz w:val="32"/>
          <w:szCs w:val="32"/>
        </w:rPr>
        <w:t>组织毕业生使用齐鲁工业大学就业信息网“精准指导”就业台账系统，组织学业导师、班主任和辅导员等对学生的就业需求提供精准个性化指导并在台账中记录，积极开展一对一谈心谈话和就业精准推荐，引导毕业生尽早就业；开展“金秋招聘行动”“暖冬行动”“春风行动”“百日攻坚行动”“离校跟踪服务行动”等就业服务系列活动；编写《校园招聘手册》等；设立就业热线、咨询QQ号（邮箱），安排就业工作人员寒暑假期间定期值班；发布《致2024届毕业生的一封信》；开通微信、电话等举报方式，畅通反馈渠道；持续开展报到证取消等政策宣传，组织毕业生及时完成离校手续，规范寄发2024届毕业生档案；全面开展检查督查，举办就业统计专项核查专题培训，组织各二级单位组建核查专班，开展全面互查，</w:t>
      </w:r>
      <w:r>
        <w:rPr>
          <w:rFonts w:hint="eastAsia" w:ascii="仿宋_GB2312" w:hAnsi="仿宋_GB2312" w:eastAsia="仿宋_GB2312" w:cs="仿宋_GB2312"/>
          <w:kern w:val="0"/>
          <w:sz w:val="32"/>
          <w:szCs w:val="32"/>
          <w:lang w:bidi="ar"/>
        </w:rPr>
        <w:t>建立定期就业通报制度。</w:t>
      </w:r>
      <w:bookmarkStart w:id="0" w:name="_GoBack"/>
      <w:bookmarkEnd w:id="0"/>
    </w:p>
    <w:p w14:paraId="6DFA41C4">
      <w:pPr>
        <w:pStyle w:val="3"/>
        <w:spacing w:line="560" w:lineRule="exact"/>
        <w:rPr>
          <w:rFonts w:ascii="仿宋_GB2312" w:hAnsi="仿宋_GB2312" w:cs="仿宋_GB2312"/>
          <w:szCs w:val="32"/>
        </w:rPr>
      </w:pPr>
    </w:p>
    <w:p w14:paraId="6207DAAB">
      <w:pPr>
        <w:pStyle w:val="3"/>
        <w:spacing w:line="560" w:lineRule="exact"/>
        <w:ind w:firstLine="3840" w:firstLineChars="1200"/>
        <w:rPr>
          <w:rFonts w:ascii="仿宋_GB2312" w:hAnsi="仿宋_GB2312" w:cs="仿宋_GB2312"/>
          <w:szCs w:val="32"/>
        </w:rPr>
      </w:pPr>
      <w:r>
        <w:rPr>
          <w:rFonts w:hint="eastAsia" w:ascii="仿宋_GB2312" w:hAnsi="仿宋_GB2312" w:cs="仿宋_GB2312"/>
          <w:szCs w:val="32"/>
        </w:rPr>
        <w:t>齐鲁工业大学（山东省科学院）</w:t>
      </w:r>
    </w:p>
    <w:p w14:paraId="1F684D59">
      <w:pPr>
        <w:pStyle w:val="3"/>
        <w:spacing w:line="560" w:lineRule="exact"/>
        <w:ind w:left="4480" w:hanging="4480" w:hangingChars="1400"/>
      </w:pPr>
      <w:r>
        <w:rPr>
          <w:rFonts w:hint="eastAsia" w:ascii="仿宋_GB2312" w:hAnsi="仿宋_GB2312" w:cs="仿宋_GB2312"/>
          <w:szCs w:val="32"/>
        </w:rPr>
        <w:t xml:space="preserve">                             2023年11月2</w:t>
      </w:r>
      <w:r>
        <w:rPr>
          <w:rFonts w:hint="eastAsia" w:ascii="仿宋_GB2312" w:hAnsi="仿宋_GB2312" w:cs="仿宋_GB2312"/>
          <w:szCs w:val="32"/>
          <w:lang w:val="en-US" w:eastAsia="zh-CN"/>
        </w:rPr>
        <w:t>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CC37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674EB">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B674EB">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BE324F"/>
    <w:rsid w:val="08A15138"/>
    <w:rsid w:val="1EBE324F"/>
    <w:rsid w:val="290043D2"/>
    <w:rsid w:val="2B0A1D6D"/>
    <w:rsid w:val="5CDB0400"/>
    <w:rsid w:val="6A203631"/>
    <w:rsid w:val="6F67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99"/>
    <w:pPr>
      <w:snapToGrid w:val="0"/>
      <w:jc w:val="left"/>
    </w:pPr>
    <w:rPr>
      <w:rFonts w:eastAsia="宋体" w:cs="宋体"/>
    </w:rPr>
  </w:style>
  <w:style w:type="paragraph" w:styleId="3">
    <w:name w:val="Body Text"/>
    <w:basedOn w:val="1"/>
    <w:next w:val="1"/>
    <w:qFormat/>
    <w:uiPriority w:val="0"/>
    <w:rPr>
      <w:rFonts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3500</Words>
  <Characters>3600</Characters>
  <Lines>0</Lines>
  <Paragraphs>0</Paragraphs>
  <TotalTime>18</TotalTime>
  <ScaleCrop>false</ScaleCrop>
  <LinksUpToDate>false</LinksUpToDate>
  <CharactersWithSpaces>3638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2026-08-16T06:36:00Z</dcterms:created>
  <dc:creator>曼天飞舞1414827078</dc:creator>
  <cp:lastModifiedBy>曼天飞舞1414827078</cp:lastModifiedBy>
  <dcterms:modified xsi:type="dcterms:W3CDTF">2026-08-17T01:48:45Z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71617CF46E3241648CB43D5B1BA89EEA_11</vt:lpwstr>
  </property>
  <property fmtid="{D5CDD505-2E9C-101B-9397-08002B2CF9AE}" pid="4" name="KSOTemplateDocerSaveRecord">
    <vt:lpwstr>eyJoZGlkIjoiOTZkNjI0MmNmNzI5MzliZTNkNWI5MDk1ZWY5ODg4YzgiLCJ1c2VySWQiOiIyNDEyNDE3MyJ9</vt:lpwstr>
  </property>
</Properties>
</file>