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93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齐鲁工业大学（山东省科学院）</w:t>
      </w:r>
    </w:p>
    <w:p w14:paraId="6D4D8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2025届毕业生就业工作方案</w:t>
      </w:r>
    </w:p>
    <w:p w14:paraId="064BF1E7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71CFDB5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根据教育部《关于做好2025届全国普通高校毕业生就业创业工作的通知》（教就业〔2024〕5号）和2025届全国普通高校毕业生就业创业工作会议精神要求，按照《山东省2025届高校毕业生就业创业工作方案》</w:t>
      </w:r>
      <w:r>
        <w:rPr>
          <w:rFonts w:hint="eastAsia" w:ascii="仿宋" w:hAnsi="仿宋" w:eastAsia="仿宋" w:cs="仿宋"/>
          <w:bCs/>
          <w:sz w:val="32"/>
          <w:szCs w:val="32"/>
        </w:rPr>
        <w:t>要求，为落实校（院）2025届毕业生就业推进会精神，促进毕业生高质量充分就业，结合实际，制定本方案。</w:t>
      </w:r>
    </w:p>
    <w:p w14:paraId="796D7C34"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2025届毕业生就业工作总要求、总目标</w:t>
      </w:r>
    </w:p>
    <w:p w14:paraId="29A426A5">
      <w:pPr>
        <w:pStyle w:val="2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（一）深化教育教学改革，提升毕业生就业竞争力</w:t>
      </w:r>
    </w:p>
    <w:p w14:paraId="11F50B8E">
      <w:pPr>
        <w:pStyle w:val="2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切实夯实人才培养中心地位和本科教育教学核心地位，持续优化学科专业设置，完善教学质量监控与评价体系，持续推进学风建设工作，大力提高学生综合能力，提高升学率，努力实现“4411”就业工作总目标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E0E7797">
      <w:pPr>
        <w:pStyle w:val="2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（二）深化就业育人体系，实现就业工作前移</w:t>
      </w:r>
    </w:p>
    <w:p w14:paraId="624299E4">
      <w:pPr>
        <w:pStyle w:val="2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面落实“早、全、实、好”就业工作总要求，持续推进就业工作“全程化、全员化、专业化、信息化”，全面落实研究生导师负责制，全面实施本科生“学业导师制”，真正将生涯教育与就业指导纳入人才培养全过程，打造一批就业指导“名师金课”，擦亮就业工作品牌。</w:t>
      </w:r>
    </w:p>
    <w:p w14:paraId="3E21EE5C">
      <w:pPr>
        <w:pStyle w:val="2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（三）深化就业服务体系，确保就业大局稳定</w:t>
      </w:r>
    </w:p>
    <w:p w14:paraId="4964C842">
      <w:pPr>
        <w:pStyle w:val="2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面落实“校（院）主导、部门主责、学部（学院）主体、毕业生主角”就业工作机制，坚持全年关注、全员参与、全过程指导，搭建精准供需信息对接平台，实施“金秋招聘”“暖冬行动”“春风行动”“百日冲刺”“就业攻坚”等5大专项行动，让更多毕业生“稳就业、好就业、就好业”。</w:t>
      </w:r>
    </w:p>
    <w:p w14:paraId="1E02FC97"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、2025届毕业生就业工作主要措施</w:t>
      </w:r>
    </w:p>
    <w:p w14:paraId="4FF04524">
      <w:pPr>
        <w:pStyle w:val="2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（一）强化组织领导，推进就业工作体制机制创新</w:t>
      </w:r>
    </w:p>
    <w:p w14:paraId="2A128D06">
      <w:pPr>
        <w:pStyle w:val="2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1.深入推进“一把手”工程。</w:t>
      </w:r>
      <w:r>
        <w:rPr>
          <w:rFonts w:hint="eastAsia" w:ascii="仿宋" w:hAnsi="仿宋" w:eastAsia="仿宋" w:cs="仿宋"/>
          <w:sz w:val="32"/>
          <w:szCs w:val="32"/>
        </w:rPr>
        <w:t>召开校（院）就业工作会议不少于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次；强化校（院）领导“一岗双责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，加大对分管部门和联系二级单位的督导指导；实施就业工作月调度制度；落实教育部访企拓岗“两个100”“不少于10家”要求，推进校（院）领导和各单位领导带头访企拓岗、帮扶困难毕业生制度。</w:t>
      </w:r>
    </w:p>
    <w:p w14:paraId="5EE2807E">
      <w:pPr>
        <w:pStyle w:val="2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2.完善就业工作反馈机制。</w:t>
      </w:r>
      <w:r>
        <w:rPr>
          <w:rFonts w:hint="eastAsia" w:ascii="仿宋" w:hAnsi="仿宋" w:eastAsia="仿宋" w:cs="仿宋"/>
          <w:sz w:val="32"/>
          <w:szCs w:val="32"/>
        </w:rPr>
        <w:t xml:space="preserve">推动就业与学科专业设置、招生培养联动改革，发挥就业大数据对招生计划安排、人才培养方案调整作用，持续优化学科专业设置，不断提高人才培养和社会需求的契合度；推进教育部供需对接就业育人项目，深化产教融合、校企合作，培养更多应用型、复合型和紧缺型人才。  </w:t>
      </w:r>
    </w:p>
    <w:p w14:paraId="58502B63">
      <w:pPr>
        <w:pStyle w:val="2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3.完善就业监测核查机制。</w:t>
      </w:r>
      <w:r>
        <w:rPr>
          <w:rFonts w:hint="eastAsia" w:ascii="仿宋" w:hAnsi="仿宋" w:eastAsia="仿宋" w:cs="仿宋"/>
          <w:sz w:val="32"/>
          <w:szCs w:val="32"/>
        </w:rPr>
        <w:t xml:space="preserve">开通毕业生就业反馈平台，统一公布举报电话和邮箱；编制发布《就业工作简报》，及时通报就业进展情况；全面加强就业监测核查，举办专题培训，严格执行就业工作“四不准”规定，确保就业数据真实准确。 </w:t>
      </w:r>
    </w:p>
    <w:p w14:paraId="46FC39FE">
      <w:pPr>
        <w:pStyle w:val="2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4.推进大学生就业创业赋能中心建设。</w:t>
      </w:r>
      <w:r>
        <w:rPr>
          <w:rFonts w:hint="eastAsia" w:ascii="仿宋" w:hAnsi="仿宋" w:eastAsia="仿宋" w:cs="仿宋"/>
          <w:sz w:val="32"/>
          <w:szCs w:val="32"/>
        </w:rPr>
        <w:t>建成大学生就业创业赋能中心，打造专门的宣讲室、就业咨询室、AI面试室等，为学生提供集就业指导、政策咨询、技能培训、职业介绍、权益维护为一体的综合服务；引导、支持各二级单位建设特色型职业辅导工作室。</w:t>
      </w:r>
    </w:p>
    <w:p w14:paraId="5F91967A">
      <w:pPr>
        <w:pStyle w:val="2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（二）强化精准指导，深入推进就业育人</w:t>
      </w:r>
    </w:p>
    <w:p w14:paraId="6CE4CA25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1.推进全省职业生涯与就业指导金课建设。</w:t>
      </w:r>
      <w:r>
        <w:rPr>
          <w:rFonts w:hint="eastAsia" w:ascii="仿宋" w:hAnsi="仿宋" w:eastAsia="仿宋" w:cs="仿宋"/>
          <w:sz w:val="32"/>
          <w:szCs w:val="32"/>
        </w:rPr>
        <w:t>以全国大学生职业规划大赛为契机，全面推进《大学生职业生涯规划》《大学生就业指导》课程改革，开展“准入制”师资选聘和培育，促进教赛一体化、课程校本化，实现教赛融合、专就融合；充分运用现代信息技术，探索建立学生成长电子档案，覆盖2025级全体新生，提供个性化、精准化、便捷化的就业指导服务。</w:t>
      </w:r>
    </w:p>
    <w:p w14:paraId="2CC3A7B6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2.推进全省首批特色型职业生涯咨询室建设。</w:t>
      </w:r>
      <w:r>
        <w:rPr>
          <w:rFonts w:hint="eastAsia" w:ascii="仿宋" w:hAnsi="仿宋" w:eastAsia="仿宋" w:cs="仿宋"/>
          <w:sz w:val="32"/>
          <w:szCs w:val="32"/>
        </w:rPr>
        <w:t>制定实施《2025级新生职业生涯规划教育方案》；编写《生涯个体咨询案例集》《洞见生涯团体辅导案例集》；面向全国，开展10期以上“格物致知” “研习书房”生涯读书会和“生涯·思享荟”网课；开展“洞见生涯”团体辅导、“致远计划”生涯训练营，服务学生1万人次以上；开展生涯个体咨询，辅导学生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00人次以上；开发AI简历辅导系统，开展面试线上指导，推进体验式、参与式生涯教育模式探索。</w:t>
      </w:r>
    </w:p>
    <w:p w14:paraId="7C27EB67">
      <w:pPr>
        <w:spacing w:line="60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3.推进精准考研指导与服务。</w:t>
      </w:r>
      <w:r>
        <w:rPr>
          <w:rFonts w:hint="eastAsia" w:ascii="仿宋" w:hAnsi="仿宋" w:eastAsia="仿宋" w:cs="仿宋"/>
          <w:sz w:val="32"/>
          <w:szCs w:val="32"/>
        </w:rPr>
        <w:t>引导各二级单位举办考研指导主题班会，开展“研途有你”考研经验分享会，积极宣传考研学生典型事迹；组织送祝福、送考研礼包等暖心活动；动态调研学生报考情况，整合学业导师、班主任、辅导员、校友等校内外资源，全力做好报考、备考、复试、调剂等全程指导，全面提升考研录取率。</w:t>
      </w:r>
    </w:p>
    <w:p w14:paraId="76A049FF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4.举办第二届全国大学生职业规划大赛。</w:t>
      </w:r>
      <w:r>
        <w:rPr>
          <w:rFonts w:hint="eastAsia" w:ascii="仿宋" w:hAnsi="仿宋" w:eastAsia="仿宋" w:cs="仿宋"/>
          <w:sz w:val="32"/>
          <w:szCs w:val="32"/>
        </w:rPr>
        <w:t>成立大赛执行委员会，调研制定《大学生职业规划大赛实施方案》，举办“职业生涯人物访谈”“金牌简历特训营”等同期活动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0场以上，争取覆盖学生超1万人次；设立职业规划大赛专项经费，组织承办好山东省省赛，确保大赛成绩新突破。</w:t>
      </w:r>
    </w:p>
    <w:p w14:paraId="1CF3B694">
      <w:pPr>
        <w:pStyle w:val="2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（三）强化精准对接，开拓市场化就业渠道</w:t>
      </w:r>
    </w:p>
    <w:p w14:paraId="6239B633">
      <w:pPr>
        <w:pStyle w:val="2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1.强化校园招聘创新，探索“招聘+”延伸校园招聘功能。</w:t>
      </w:r>
      <w:r>
        <w:rPr>
          <w:rFonts w:hint="eastAsia" w:ascii="仿宋" w:hAnsi="仿宋" w:eastAsia="仿宋" w:cs="仿宋"/>
          <w:sz w:val="32"/>
          <w:szCs w:val="32"/>
        </w:rPr>
        <w:t>持续开展“万企进校园”活动，推进工大雇主品牌联盟“百十”工程；积极承办“职通央企”“就选山东”等省级招聘；组织二级单位主动对接产业园区、头部企业，开展小而精、专而优的专场招聘会；主动对接地方人社部门，开展“留鲁就业宣传周”活动；开展暑期实习生招聘系列活动，强化就业实习实践，提供高质量岗位超10万个。</w:t>
      </w:r>
    </w:p>
    <w:p w14:paraId="7E95E0E9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2.深化校地校企合作，搭建大学生职业发展实践平台。</w:t>
      </w:r>
      <w:r>
        <w:rPr>
          <w:rFonts w:hint="eastAsia" w:ascii="仿宋" w:hAnsi="仿宋" w:eastAsia="仿宋" w:cs="仿宋"/>
          <w:sz w:val="32"/>
          <w:szCs w:val="32"/>
        </w:rPr>
        <w:t>拓展500强企业、行业龙头企业资源，搭建校企人才共育、共用平台；开展“优质人力资源机构进校园”活动，深化与智联招聘、前程无忧等交流合作；依托学科专业精准开展访企拓岗，每个专业年度联系走访用人单位不少于10家，探索“就业大巴”等高质量供需对接平台；组织申报教育部第四期就业育人项目。</w:t>
      </w:r>
    </w:p>
    <w:p w14:paraId="0115F265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3.强化就业信息化建设，高精度实施岗位推送计划。</w:t>
      </w:r>
      <w:r>
        <w:rPr>
          <w:rFonts w:hint="eastAsia" w:ascii="仿宋" w:hAnsi="仿宋" w:eastAsia="仿宋" w:cs="仿宋"/>
          <w:sz w:val="32"/>
          <w:szCs w:val="32"/>
        </w:rPr>
        <w:t>充分发挥校（院）超算平台优势和信息学科特色，积极探索人工智能赋能就业服务新场景、新模式，升级就业信息网平台，确保岗位信息、就业政策精准快速传导到每个毕业生身上。</w:t>
      </w:r>
    </w:p>
    <w:p w14:paraId="6C71A4CF">
      <w:pPr>
        <w:pStyle w:val="2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（四）强化精准育人，健全完善就业宣传机制</w:t>
      </w:r>
    </w:p>
    <w:p w14:paraId="6280A303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1.完善就业育人工作机制。</w:t>
      </w:r>
      <w:r>
        <w:rPr>
          <w:rFonts w:hint="eastAsia" w:ascii="仿宋" w:hAnsi="仿宋" w:eastAsia="仿宋" w:cs="仿宋"/>
          <w:sz w:val="32"/>
          <w:szCs w:val="32"/>
        </w:rPr>
        <w:t>开展“就业育人”等系列活动，在专业课教学和实习实践等育人环节强化就业教育；举办“三支一扶”“西部计划”专题宣讲，开展“签约第一人”“签约先锋”“最美毕业生”“青春榜样”基层就业等典型人物事迹宣传活动，引导毕业生客观看待个人条件和社会需求，以择业新观念打开就业新天地；高质量举办毕业典礼，充分发挥典礼育人效能；高效率组织文明离校，全力护航毕业生“最后一公里”。</w:t>
      </w:r>
    </w:p>
    <w:p w14:paraId="36DC0264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2.完善就业师资培育机制。</w:t>
      </w:r>
      <w:r>
        <w:rPr>
          <w:rFonts w:hint="eastAsia" w:ascii="仿宋" w:hAnsi="仿宋" w:eastAsia="仿宋" w:cs="仿宋"/>
          <w:sz w:val="32"/>
          <w:szCs w:val="32"/>
        </w:rPr>
        <w:t>制定实施《2025年“领航计划”全程化就业指导培训方案》，开展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0期就业指导师资培训；强化校外就业导师队伍建设，制定实施《大学生职业发展与就业指导校外导师聘任办法》，组织企业老总、技术骨干、人力资源专家、知名校友等，开展精准化、个性化就业指导服务。</w:t>
      </w:r>
    </w:p>
    <w:p w14:paraId="63170299">
      <w:pPr>
        <w:pStyle w:val="2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（五）强化精准服务，完善就业帮扶机制</w:t>
      </w:r>
    </w:p>
    <w:p w14:paraId="23E9EEFB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1.系统开展重点群体就业帮扶。</w:t>
      </w:r>
      <w:r>
        <w:rPr>
          <w:rFonts w:hint="eastAsia" w:ascii="仿宋" w:hAnsi="仿宋" w:eastAsia="仿宋" w:cs="仿宋"/>
          <w:sz w:val="32"/>
          <w:szCs w:val="32"/>
        </w:rPr>
        <w:t>组织各二级单位开展2025届毕业生就业动态调研，更新《2025届毕业生精准就业指导台账》；摸清困难群体毕业生底数，用好“暖心助航”精准就业指导平台，按照“一人一策”“一人一档”，实行销号管理；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举办</w:t>
      </w:r>
      <w:r>
        <w:rPr>
          <w:rFonts w:hint="eastAsia" w:ascii="仿宋" w:hAnsi="仿宋" w:eastAsia="仿宋" w:cs="仿宋"/>
          <w:sz w:val="32"/>
          <w:szCs w:val="32"/>
        </w:rPr>
        <w:t>教育部宏志助航计划—全国高校毕业生就业能力培训，为500名困难毕业生提供专项指导帮扶。</w:t>
      </w:r>
    </w:p>
    <w:p w14:paraId="76669E0F">
      <w:pPr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2.系统开展暖心就业指导服务。</w:t>
      </w:r>
      <w:r>
        <w:rPr>
          <w:rFonts w:hint="eastAsia" w:ascii="仿宋" w:hAnsi="仿宋" w:eastAsia="仿宋" w:cs="仿宋"/>
          <w:sz w:val="32"/>
          <w:szCs w:val="32"/>
        </w:rPr>
        <w:t>开展“金秋招聘”“春风行动”“家校协同育人促就业”“就业权益宣传月”等主题服务活动；编写《校园招聘手册》等；发布《致毕业生的一封信》；在全省率先寄发毕业生档案；设立就业热线、寒暑假值班服务岗，促进就业服务“不断档、不打烊、不掉线”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。</w:t>
      </w:r>
    </w:p>
    <w:p w14:paraId="3E283A9E">
      <w:pPr>
        <w:spacing w:line="600" w:lineRule="exact"/>
        <w:ind w:firstLine="4160" w:firstLineChars="1300"/>
        <w:rPr>
          <w:rFonts w:hint="eastAsia" w:ascii="仿宋" w:hAnsi="仿宋" w:eastAsia="仿宋" w:cs="仿宋"/>
          <w:sz w:val="32"/>
          <w:szCs w:val="32"/>
        </w:rPr>
      </w:pPr>
    </w:p>
    <w:p w14:paraId="56C4409C">
      <w:pPr>
        <w:spacing w:line="600" w:lineRule="exact"/>
        <w:ind w:firstLine="4160" w:firstLineChars="1300"/>
        <w:rPr>
          <w:rFonts w:hint="eastAsia" w:ascii="仿宋" w:hAnsi="仿宋" w:eastAsia="仿宋" w:cs="仿宋"/>
          <w:sz w:val="32"/>
          <w:szCs w:val="32"/>
        </w:rPr>
      </w:pPr>
    </w:p>
    <w:p w14:paraId="7F7077C4">
      <w:pPr>
        <w:spacing w:line="600" w:lineRule="exact"/>
        <w:ind w:firstLine="4160" w:firstLineChars="1300"/>
        <w:rPr>
          <w:rFonts w:hint="eastAsia" w:ascii="仿宋" w:hAnsi="仿宋" w:eastAsia="仿宋" w:cs="仿宋"/>
          <w:sz w:val="32"/>
          <w:szCs w:val="32"/>
        </w:rPr>
      </w:pPr>
    </w:p>
    <w:p w14:paraId="2F4BDE99">
      <w:pPr>
        <w:spacing w:line="600" w:lineRule="exact"/>
        <w:ind w:firstLine="4160" w:firstLineChars="13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齐鲁工业大学（山东省科学院）</w:t>
      </w:r>
    </w:p>
    <w:p w14:paraId="37E3FED0">
      <w:pPr>
        <w:spacing w:line="600" w:lineRule="exact"/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2025年1月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200648-8D47-4873-8D7F-F0D43E5702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01534C9-FA89-4B0F-A333-C8E0925FFAF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DC15B8F-94F2-49E1-A226-274EEB185D6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A78C4D4-E713-421F-AAED-1C92D149D4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688B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0ADC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D0ADC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96624"/>
    <w:rsid w:val="299110E0"/>
    <w:rsid w:val="3CA96624"/>
    <w:rsid w:val="64E01E8E"/>
    <w:rsid w:val="67EA6400"/>
    <w:rsid w:val="70D67915"/>
    <w:rsid w:val="7ADC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footnote text"/>
    <w:basedOn w:val="1"/>
    <w:qFormat/>
    <w:uiPriority w:val="99"/>
    <w:pPr>
      <w:snapToGrid w:val="0"/>
      <w:jc w:val="left"/>
    </w:pPr>
    <w:rPr>
      <w:rFonts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3037</Words>
  <Characters>3134</Characters>
  <Lines>0</Lines>
  <Paragraphs>0</Paragraphs>
  <TotalTime>16</TotalTime>
  <ScaleCrop>false</ScaleCrop>
  <LinksUpToDate>false</LinksUpToDate>
  <CharactersWithSpaces>3167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2026-08-14T07:09:00Z</dcterms:created>
  <dc:creator>曼天飞舞1414827078</dc:creator>
  <cp:lastModifiedBy>曼天飞舞1414827078</cp:lastModifiedBy>
  <dcterms:modified xsi:type="dcterms:W3CDTF">2026-08-17T01:49:30Z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C6BD4ACBC3E24D6EA3BE939E9905047C_13</vt:lpwstr>
  </property>
  <property fmtid="{D5CDD505-2E9C-101B-9397-08002B2CF9AE}" pid="4" name="KSOTemplateDocerSaveRecord">
    <vt:lpwstr>eyJoZGlkIjoiOTZkNjI0MmNmNzI5MzliZTNkNWI5MDk1ZWY5ODg4YzgiLCJ1c2VySWQiOiIyNDEyNDE3MyJ9</vt:lpwstr>
  </property>
</Properties>
</file>